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62 vom 20. November 2025</w:t>
      </w:r>
    </w:p>
    <w:p>
      <w:r>
        <w:t>GR Gerichte, 2025-11-20, DE</w:t>
      </w:r>
    </w:p>
    <w:p>
      <w:r>
        <w:rPr>
          <w:b/>
        </w:rPr>
        <w:t xml:space="preserve">Quelle: </w:t>
      </w:r>
      <w:r>
        <w:t>https://mcp.opencaselaw.ch/entscheid/gr_gerichte_SR2 2025 62</w:t>
      </w:r>
    </w:p>
    <w:p>
      <w:r>
        <w:t>FR: GR_GERICHTE SR2 2025 62 du 20 novembre 2025</w:t>
      </w:r>
    </w:p>
    <w:p>
      <w:r>
        <w:t>IT: GR_GERICHTE SR2 2025 62 del 20 novembre 2025</w:t>
      </w:r>
    </w:p>
    <w:p>
      <w:pPr>
        <w:pStyle w:val="Heading2"/>
      </w:pPr>
      <w:r>
        <w:t>Regeste</w:t>
      </w:r>
    </w:p>
    <w:p>
      <w:r>
        <w:t>Widerhandlung gegen das Tierschutzgesetz | Beschwerde gegen StA, Nichtanhandnahmeverfügung StPO 310 (früher Ablehnungsverfügung)</w:t>
      </w:r>
    </w:p>
    <w:p>
      <w:pPr>
        <w:pStyle w:val="Heading2"/>
      </w:pPr>
      <w:r>
        <w:t>Erwägungen</w:t>
      </w:r>
    </w:p>
    <w:p>
      <w:r>
        <w:rPr>
          <w:b/>
        </w:rPr>
        <w:t>E. 1</w:t>
      </w:r>
    </w:p>
    <w:p>
      <w:r>
        <w:t>Gegen Nichtanhandnahmeverfügungen der Staatsanwaltschaft kann gemäss Art. 310 Abs. 2, Art. 322 Abs. 2 sowie Art. 393 Abs. 1 lit. a StPO i.V.m. Art. 22 EGzStPO (BR 350.100) beim Obergericht Beschwerde erhoben werden. Die Beurteilung fällt in die Zuständigkeit der Zweiten strafrechtlichen Kammer (Art. 13 Abs. 1 OGV [BR 173.010]).</w:t>
      </w:r>
    </w:p>
    <w:p>
      <w:r>
        <w:rPr>
          <w:b/>
        </w:rPr>
        <w:t>E. 3</w:t>
      </w:r>
    </w:p>
    <w:p>
      <w:r>
        <w:t>/ 5 2. Die Legitimation im kantonalen Rechtsmittelverfahren ist in Art. 382 StPO geregelt. Gemäss Abs. 1 dieser Bestimmung kann jede Partei, die ein rechtlich geschütztes Interesse an der Aufhebung oder Änderung eines Entscheids hat, ein Rechtsmittel ergreifen. Unter den Begriff der Partei nach Art. 104 Abs. 1 StPO fallen namentlich die beschuldigte Person und die Privatklägerschaft, welche sich rechtzeitig konstituiert hat (Art. 118 Abs. 1 StPO). Als Privatklägerschaft gilt die geschädigte Person, die ausdrücklich erklärt, sich am Strafverfahren als Straf- oder Zivilklägerin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Rechtsguts ist.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(BGE 148 IV 170 E. 3.2; 140 IV 155 E. 3.2; je mit weiteren Hinweisen). Der Anzeigeerstatter fällt nicht unter den Begriff der Partei nach Art. 104 Abs. 1 StPO, sondern ist ein sogenannter "anderer Verfahrensbeteiligter" im Sinne von Art. 105 Abs. 1 lit. b StPO. Ihm stehen – abgesehen vom beschränkten Anspruch auf Information über die Einleitung und die Erledigung des Strafverfahrens (Art. 301 Abs. 2 StPO) – keine weiteren Verfahrensrechte zu, wenn er nicht geschädigt ist und folglich auch nicht als Privatkläger am Strafverfahren teilnehmen kann (Art. 301 Abs. 3 StPO). Insbesondere ist er nicht berechtigt, Nichtanhandnahmeverfügungen der Staatsanwaltschaft mittels Beschwerde an die kantonale Beschwerdeinstanz anzufechten (so etwa Urteil des Bundesgerichts 7B_1037/2024 vom 6. Januar 2025; 7B_12/2023 vom 4. September 2023 E. 2.2; 6B_139/2019 vom 22. Oktober 2019 E. 3.1.1). Andere Verfahrensbeteiligte im Sinne von Art. 105 StPO können nur dann zur Beschwerde legitimiert sein, wenn sie in ihren Rechten unmittelbar betroffen sind und die Ergreifung eines Rechtsmittels ein zur Wahrung ihrer Interessen erforderliches Verfahrensrecht ist (Art. 105 Abs. 2 StPO; RIKLIN, Schweizerische Strafprozessordnung, Orell Füssli Kommentar, 2. Aufl. 2014, Art. 382 N. 3; LIEBER, in: Donatsch/Lieber/Summers/Wohlers [Hrsg.], Kommentar zur Schweizerischen Strafprozessordnung, 3. Aufl. 2020, Art. 105 N. 12 ff. und Art. 382 N. 2). Soweit die Legitimationsvoraussetzungen nicht ohne Weiteres ersichtlich sind, haben die Beschwerdeführer in ihrer Rechtsmitteleingabe darzulegen, inwieweit sie sich zur Beschwerde legitimiert erachten (vgl. Urteil des Bundesgerichts 1B_230/2011 vom</w:t>
      </w:r>
    </w:p>
    <w:p>
      <w:r>
        <w:rPr>
          <w:b/>
        </w:rPr>
        <w:t>E. 4</w:t>
      </w:r>
    </w:p>
    <w:p>
      <w:r>
        <w:t>Im Ergebnis mangelt es dem Beschwerdeführer demnach an der Beschwerdelegitimation. Da diese Rechtslage offensichtlich ist, ergeht die vorliegende Entscheidung gestützt auf Art. 388 Abs. 2 lit. a StPO in einzelrichterlicher Kompetenz.</w:t>
      </w:r>
    </w:p>
    <w:p>
      <w:r>
        <w:rPr>
          <w:b/>
        </w:rPr>
        <w:t>E. 5</w:t>
      </w:r>
    </w:p>
    <w:p>
      <w:r>
        <w:t>/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